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36" w:rsidRPr="00FD0854" w:rsidRDefault="00FD0854" w:rsidP="00FD0854">
      <w:pPr>
        <w:spacing w:after="120"/>
        <w:ind w:firstLine="284"/>
        <w:jc w:val="both"/>
        <w:rPr>
          <w:b/>
          <w:sz w:val="28"/>
          <w:szCs w:val="22"/>
        </w:rPr>
      </w:pPr>
      <w:r w:rsidRPr="00FD0854">
        <w:rPr>
          <w:b/>
          <w:smallCaps/>
          <w:sz w:val="28"/>
          <w:szCs w:val="22"/>
        </w:rPr>
        <w:t>Bartoš,  Michael</w:t>
      </w:r>
    </w:p>
    <w:p w:rsidR="00FD0854" w:rsidRDefault="005B6E36" w:rsidP="003C7D55">
      <w:pPr>
        <w:pStyle w:val="ListParagraph"/>
        <w:spacing w:after="120"/>
        <w:ind w:left="284"/>
        <w:contextualSpacing w:val="0"/>
        <w:jc w:val="both"/>
        <w:rPr>
          <w:sz w:val="22"/>
          <w:szCs w:val="22"/>
        </w:rPr>
      </w:pPr>
      <w:r w:rsidRPr="00FD0854">
        <w:rPr>
          <w:sz w:val="22"/>
          <w:szCs w:val="22"/>
        </w:rPr>
        <w:t>SELECTED PUBLICATIONS</w:t>
      </w:r>
      <w:r w:rsidR="00FD0854" w:rsidRPr="00FD0854">
        <w:rPr>
          <w:sz w:val="22"/>
          <w:szCs w:val="22"/>
        </w:rPr>
        <w:t>:  AMENITY MIGRATION</w:t>
      </w:r>
      <w:r w:rsidRPr="00FD0854">
        <w:rPr>
          <w:sz w:val="22"/>
          <w:szCs w:val="22"/>
        </w:rPr>
        <w:t xml:space="preserve"> </w:t>
      </w:r>
    </w:p>
    <w:p w:rsidR="00FD0854" w:rsidRDefault="00FD0854" w:rsidP="003C7D55">
      <w:pPr>
        <w:pStyle w:val="ListParagraph"/>
        <w:spacing w:after="120"/>
        <w:ind w:left="284"/>
        <w:contextualSpacing w:val="0"/>
        <w:jc w:val="both"/>
        <w:rPr>
          <w:sz w:val="22"/>
          <w:szCs w:val="22"/>
        </w:rPr>
      </w:pPr>
    </w:p>
    <w:p w:rsidR="00806700" w:rsidRPr="00A065E0" w:rsidRDefault="00006FB3" w:rsidP="003C7D55">
      <w:pPr>
        <w:pStyle w:val="ListParagraph"/>
        <w:numPr>
          <w:ilvl w:val="0"/>
          <w:numId w:val="1"/>
        </w:numPr>
        <w:tabs>
          <w:tab w:val="clear" w:pos="1004"/>
          <w:tab w:val="num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 xml:space="preserve">Bartoš, M. </w:t>
      </w:r>
      <w:r w:rsidR="00806700" w:rsidRPr="00A065E0">
        <w:rPr>
          <w:sz w:val="22"/>
          <w:szCs w:val="22"/>
        </w:rPr>
        <w:t xml:space="preserve">(2015): </w:t>
      </w:r>
      <w:r w:rsidR="00806700" w:rsidRPr="00A065E0">
        <w:rPr>
          <w:i/>
          <w:sz w:val="22"/>
          <w:szCs w:val="22"/>
        </w:rPr>
        <w:t>Může amenitní migrace zmírnit krizi české venkovské krajiny?</w:t>
      </w:r>
      <w:r w:rsidRPr="00A065E0">
        <w:rPr>
          <w:i/>
          <w:sz w:val="22"/>
          <w:szCs w:val="22"/>
        </w:rPr>
        <w:t xml:space="preserve">(in Czech, „Can amenity </w:t>
      </w:r>
      <w:r w:rsidR="00326E08" w:rsidRPr="00A065E0">
        <w:rPr>
          <w:i/>
          <w:sz w:val="22"/>
          <w:szCs w:val="22"/>
        </w:rPr>
        <w:t>migration reduce the crises of C</w:t>
      </w:r>
      <w:r w:rsidRPr="00A065E0">
        <w:rPr>
          <w:i/>
          <w:sz w:val="22"/>
          <w:szCs w:val="22"/>
        </w:rPr>
        <w:t>zech rural landscape?)</w:t>
      </w:r>
      <w:r w:rsidR="003C7D55" w:rsidRPr="00A065E0">
        <w:rPr>
          <w:i/>
          <w:sz w:val="22"/>
          <w:szCs w:val="22"/>
        </w:rPr>
        <w:t>.</w:t>
      </w:r>
      <w:r w:rsidRPr="00A065E0">
        <w:rPr>
          <w:i/>
          <w:sz w:val="22"/>
          <w:szCs w:val="22"/>
        </w:rPr>
        <w:t xml:space="preserve"> </w:t>
      </w:r>
      <w:r w:rsidR="00806700" w:rsidRPr="00A065E0">
        <w:rPr>
          <w:sz w:val="22"/>
          <w:szCs w:val="22"/>
        </w:rPr>
        <w:t xml:space="preserve"> In: Rynda, I. </w:t>
      </w:r>
      <w:r w:rsidR="00806700" w:rsidRPr="00A065E0">
        <w:rPr>
          <w:smallCaps/>
          <w:sz w:val="22"/>
          <w:szCs w:val="22"/>
        </w:rPr>
        <w:t>(</w:t>
      </w:r>
      <w:r w:rsidR="00806700" w:rsidRPr="00A065E0">
        <w:rPr>
          <w:sz w:val="22"/>
          <w:szCs w:val="22"/>
        </w:rPr>
        <w:t>ed</w:t>
      </w:r>
      <w:r w:rsidR="00806700" w:rsidRPr="00A065E0">
        <w:rPr>
          <w:smallCaps/>
          <w:sz w:val="22"/>
          <w:szCs w:val="22"/>
        </w:rPr>
        <w:t xml:space="preserve">.). </w:t>
      </w:r>
      <w:r w:rsidR="00806700" w:rsidRPr="00A065E0">
        <w:rPr>
          <w:sz w:val="22"/>
          <w:szCs w:val="22"/>
        </w:rPr>
        <w:t xml:space="preserve">Krize: společnost, kultura a ekologie. Praha: Togga, s. 143 – 152, ISBN 978-80-7476-086-0 </w:t>
      </w:r>
    </w:p>
    <w:p w:rsidR="00806700" w:rsidRPr="00A065E0" w:rsidRDefault="00006FB3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i/>
          <w:noProof/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J., Moss, L.A.G</w:t>
      </w:r>
      <w:r w:rsidR="00806700" w:rsidRPr="00A065E0">
        <w:rPr>
          <w:smallCaps/>
          <w:sz w:val="22"/>
          <w:szCs w:val="22"/>
        </w:rPr>
        <w:t>.</w:t>
      </w:r>
      <w:r w:rsidR="00806700" w:rsidRPr="00A065E0">
        <w:rPr>
          <w:sz w:val="22"/>
          <w:szCs w:val="22"/>
        </w:rPr>
        <w:t xml:space="preserve"> (2014): </w:t>
      </w:r>
      <w:r w:rsidR="00806700" w:rsidRPr="00A065E0">
        <w:rPr>
          <w:i/>
          <w:sz w:val="22"/>
          <w:szCs w:val="22"/>
        </w:rPr>
        <w:t xml:space="preserve">The Czech migration for amenities. </w:t>
      </w:r>
      <w:r w:rsidR="00806700" w:rsidRPr="00A065E0">
        <w:rPr>
          <w:sz w:val="22"/>
          <w:szCs w:val="22"/>
        </w:rPr>
        <w:t xml:space="preserve">In: Moss, L.A.G., Glorioso, R.S. (eds.): </w:t>
      </w:r>
      <w:r w:rsidR="00806700" w:rsidRPr="00A065E0">
        <w:rPr>
          <w:i/>
          <w:sz w:val="22"/>
          <w:szCs w:val="22"/>
        </w:rPr>
        <w:t xml:space="preserve">Global amenity migration: Transforming rural culture economy and landscape. </w:t>
      </w:r>
      <w:r w:rsidR="00806700" w:rsidRPr="00A065E0">
        <w:rPr>
          <w:sz w:val="22"/>
          <w:szCs w:val="22"/>
        </w:rPr>
        <w:t>The</w:t>
      </w:r>
      <w:r w:rsidR="00806700" w:rsidRPr="00A065E0">
        <w:rPr>
          <w:i/>
          <w:sz w:val="22"/>
          <w:szCs w:val="22"/>
        </w:rPr>
        <w:t xml:space="preserve"> </w:t>
      </w:r>
      <w:r w:rsidR="00806700" w:rsidRPr="00A065E0">
        <w:rPr>
          <w:sz w:val="22"/>
          <w:szCs w:val="22"/>
        </w:rPr>
        <w:t>New Ecology Press, Kaslo, BC, Canada &amp; Port Townsend, WA, USA, p. 279 – 292. (ISBN 978-0-9936351-0-6)</w:t>
      </w:r>
    </w:p>
    <w:p w:rsidR="00806700" w:rsidRPr="00A065E0" w:rsidRDefault="00006FB3" w:rsidP="003C7D55">
      <w:pPr>
        <w:numPr>
          <w:ilvl w:val="0"/>
          <w:numId w:val="1"/>
        </w:numPr>
        <w:tabs>
          <w:tab w:val="clear" w:pos="1004"/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Novotná, M., Preis, J., Kopp, J., Bartoš, M</w:t>
      </w:r>
      <w:r w:rsidRPr="00A065E0">
        <w:rPr>
          <w:sz w:val="22"/>
          <w:szCs w:val="22"/>
        </w:rPr>
        <w:t xml:space="preserve">. </w:t>
      </w:r>
      <w:r w:rsidR="00806700" w:rsidRPr="00A065E0">
        <w:rPr>
          <w:sz w:val="22"/>
          <w:szCs w:val="22"/>
        </w:rPr>
        <w:t xml:space="preserve">(2013): </w:t>
      </w:r>
      <w:r w:rsidR="00806700" w:rsidRPr="00A065E0">
        <w:rPr>
          <w:i/>
          <w:sz w:val="22"/>
          <w:szCs w:val="22"/>
        </w:rPr>
        <w:t>Changes of the Migration in Rural Regions of the Czech Republic: Position and Perspectives.</w:t>
      </w:r>
      <w:r w:rsidR="00806700" w:rsidRPr="00A065E0">
        <w:rPr>
          <w:sz w:val="22"/>
          <w:szCs w:val="22"/>
        </w:rPr>
        <w:t xml:space="preserve"> Moravian Geographical Reports, 21 (3), p. 37-54 (ISSN </w:t>
      </w:r>
      <w:r w:rsidR="00806700" w:rsidRPr="00A065E0">
        <w:rPr>
          <w:rFonts w:eastAsia="Calibri"/>
          <w:bCs/>
          <w:sz w:val="22"/>
          <w:szCs w:val="22"/>
          <w:lang w:eastAsia="en-US"/>
        </w:rPr>
        <w:t>1210-8812)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 xml:space="preserve">Bartoš, M., Kušová, D., Těšitel, J., Novotná, M.; Kopp, J., Macháček, J. Moss, L.A.G., Glorioso-Moss, R. </w:t>
      </w:r>
      <w:r w:rsidRPr="00A065E0">
        <w:rPr>
          <w:sz w:val="22"/>
          <w:szCs w:val="22"/>
        </w:rPr>
        <w:t xml:space="preserve">(2011): </w:t>
      </w:r>
      <w:r w:rsidRPr="00A065E0">
        <w:rPr>
          <w:i/>
          <w:sz w:val="22"/>
          <w:szCs w:val="22"/>
        </w:rPr>
        <w:t>Amenitní migrace do venk</w:t>
      </w:r>
      <w:r w:rsidR="003C7D55" w:rsidRPr="00A065E0">
        <w:rPr>
          <w:i/>
          <w:sz w:val="22"/>
          <w:szCs w:val="22"/>
        </w:rPr>
        <w:t>ovských oblastí České republiky, (in Czech, „Amenity migration into Czech rural areas“).</w:t>
      </w:r>
      <w:r w:rsidR="003B7A0E" w:rsidRPr="00A065E0">
        <w:rPr>
          <w:i/>
          <w:sz w:val="22"/>
          <w:szCs w:val="22"/>
        </w:rPr>
        <w:t xml:space="preserve"> </w:t>
      </w:r>
      <w:r w:rsidRPr="00A065E0">
        <w:rPr>
          <w:sz w:val="22"/>
          <w:szCs w:val="22"/>
        </w:rPr>
        <w:t xml:space="preserve"> Lesnická práce, s.r.o., Kostelec nad Černými Lesy, 196 s. (ISBN 978-80-87154-49-6)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</w:t>
      </w:r>
      <w:r w:rsidRPr="00A065E0">
        <w:rPr>
          <w:sz w:val="22"/>
          <w:szCs w:val="22"/>
        </w:rPr>
        <w:t xml:space="preserve"> (2008): </w:t>
      </w:r>
      <w:r w:rsidRPr="00A065E0">
        <w:rPr>
          <w:i/>
          <w:sz w:val="22"/>
          <w:szCs w:val="22"/>
        </w:rPr>
        <w:t>Amenity migration in Czech Republic – place-specific character.</w:t>
      </w:r>
      <w:r w:rsidRPr="00A065E0">
        <w:rPr>
          <w:sz w:val="22"/>
          <w:szCs w:val="22"/>
        </w:rPr>
        <w:t xml:space="preserve"> In: Moss, L.A.G., Glorioso, R.S., Krause, A. (eds): </w:t>
      </w:r>
      <w:r w:rsidRPr="00A065E0">
        <w:rPr>
          <w:i/>
          <w:sz w:val="22"/>
          <w:szCs w:val="22"/>
        </w:rPr>
        <w:t xml:space="preserve">Understanding and </w:t>
      </w:r>
      <w:bookmarkStart w:id="0" w:name="_GoBack"/>
      <w:bookmarkEnd w:id="0"/>
      <w:r w:rsidRPr="00A065E0">
        <w:rPr>
          <w:i/>
          <w:sz w:val="22"/>
          <w:szCs w:val="22"/>
        </w:rPr>
        <w:t>managing Amenity-led migration in mountain regions</w:t>
      </w:r>
      <w:r w:rsidRPr="00A065E0">
        <w:rPr>
          <w:sz w:val="22"/>
          <w:szCs w:val="22"/>
        </w:rPr>
        <w:t>. The Banff Centre,</w:t>
      </w:r>
      <w:r w:rsidRPr="00A065E0">
        <w:rPr>
          <w:i/>
          <w:iCs/>
          <w:sz w:val="22"/>
          <w:szCs w:val="22"/>
        </w:rPr>
        <w:t xml:space="preserve"> </w:t>
      </w:r>
      <w:r w:rsidRPr="00A065E0">
        <w:rPr>
          <w:sz w:val="22"/>
          <w:szCs w:val="22"/>
        </w:rPr>
        <w:t>Banff, Alberta, Canada, p. 54-65 (</w:t>
      </w:r>
      <w:r w:rsidRPr="00A065E0">
        <w:rPr>
          <w:color w:val="000000"/>
          <w:sz w:val="22"/>
          <w:szCs w:val="22"/>
          <w:shd w:val="clear" w:color="auto" w:fill="FFFFFF"/>
        </w:rPr>
        <w:t>ISBN 978</w:t>
      </w:r>
      <w:r w:rsidRPr="00A065E0">
        <w:rPr>
          <w:rFonts w:ascii="OCR A Std" w:hAnsi="OCR A Std" w:cs="OCR A Std"/>
          <w:color w:val="000000"/>
          <w:sz w:val="22"/>
          <w:szCs w:val="22"/>
          <w:shd w:val="clear" w:color="auto" w:fill="FFFFFF"/>
        </w:rPr>
        <w:t>‐</w:t>
      </w:r>
      <w:r w:rsidRPr="00A065E0">
        <w:rPr>
          <w:color w:val="000000"/>
          <w:sz w:val="22"/>
          <w:szCs w:val="22"/>
          <w:shd w:val="clear" w:color="auto" w:fill="FFFFFF"/>
        </w:rPr>
        <w:t>1</w:t>
      </w:r>
      <w:r w:rsidRPr="00A065E0">
        <w:rPr>
          <w:rFonts w:ascii="OCR A Std" w:hAnsi="OCR A Std" w:cs="OCR A Std"/>
          <w:color w:val="000000"/>
          <w:sz w:val="22"/>
          <w:szCs w:val="22"/>
          <w:shd w:val="clear" w:color="auto" w:fill="FFFFFF"/>
        </w:rPr>
        <w:t>‐</w:t>
      </w:r>
      <w:r w:rsidRPr="00A065E0">
        <w:rPr>
          <w:rStyle w:val="ls0"/>
          <w:color w:val="000000"/>
          <w:spacing w:val="6"/>
          <w:sz w:val="22"/>
          <w:szCs w:val="22"/>
          <w:shd w:val="clear" w:color="auto" w:fill="FFFFFF"/>
        </w:rPr>
        <w:t>894773</w:t>
      </w:r>
      <w:r w:rsidRPr="00A065E0">
        <w:rPr>
          <w:rStyle w:val="ls1"/>
          <w:rFonts w:ascii="OCR A Std" w:hAnsi="OCR A Std" w:cs="OCR A Std"/>
          <w:color w:val="000000"/>
          <w:spacing w:val="4"/>
          <w:sz w:val="22"/>
          <w:szCs w:val="22"/>
          <w:shd w:val="clear" w:color="auto" w:fill="FFFFFF"/>
        </w:rPr>
        <w:t>‐</w:t>
      </w:r>
      <w:r w:rsidRPr="00A065E0">
        <w:rPr>
          <w:rStyle w:val="ls0"/>
          <w:color w:val="000000"/>
          <w:spacing w:val="6"/>
          <w:sz w:val="22"/>
          <w:szCs w:val="22"/>
          <w:shd w:val="clear" w:color="auto" w:fill="FFFFFF"/>
        </w:rPr>
        <w:t>36</w:t>
      </w:r>
      <w:r w:rsidRPr="00A065E0">
        <w:rPr>
          <w:rFonts w:ascii="OCR A Std" w:hAnsi="OCR A Std" w:cs="OCR A Std"/>
          <w:color w:val="000000"/>
          <w:sz w:val="22"/>
          <w:szCs w:val="22"/>
          <w:shd w:val="clear" w:color="auto" w:fill="FFFFFF"/>
        </w:rPr>
        <w:t>‐</w:t>
      </w:r>
      <w:r w:rsidRPr="00A065E0">
        <w:rPr>
          <w:color w:val="000000"/>
          <w:sz w:val="22"/>
          <w:szCs w:val="22"/>
          <w:shd w:val="clear" w:color="auto" w:fill="FFFFFF"/>
        </w:rPr>
        <w:t>2)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 xml:space="preserve">Kopp, J., Novotná, M., Kušová, D., Bartoš, M. </w:t>
      </w:r>
      <w:r w:rsidRPr="00A065E0">
        <w:rPr>
          <w:sz w:val="22"/>
          <w:szCs w:val="22"/>
        </w:rPr>
        <w:t xml:space="preserve">(2009): </w:t>
      </w:r>
      <w:r w:rsidRPr="00A065E0">
        <w:rPr>
          <w:bCs/>
          <w:i/>
          <w:sz w:val="22"/>
          <w:szCs w:val="22"/>
        </w:rPr>
        <w:t>Krajinně-ekologické faktory amenitní migrace obyvatel na příkladu modelových venkovských krajin České republiky</w:t>
      </w:r>
      <w:r w:rsidR="003C7D55" w:rsidRPr="00A065E0">
        <w:rPr>
          <w:bCs/>
          <w:i/>
          <w:sz w:val="22"/>
          <w:szCs w:val="22"/>
        </w:rPr>
        <w:t>, (in Czech,</w:t>
      </w:r>
      <w:r w:rsidR="00260F48" w:rsidRPr="00A065E0">
        <w:rPr>
          <w:bCs/>
          <w:i/>
          <w:sz w:val="22"/>
          <w:szCs w:val="22"/>
        </w:rPr>
        <w:t xml:space="preserve"> </w:t>
      </w:r>
      <w:r w:rsidR="003C7D55" w:rsidRPr="00A065E0">
        <w:rPr>
          <w:bCs/>
          <w:i/>
          <w:sz w:val="22"/>
          <w:szCs w:val="22"/>
        </w:rPr>
        <w:t>“The landscape-ecological factors of the amenity migration. Case study of rural landscape in the Czech Republic“)</w:t>
      </w:r>
      <w:r w:rsidR="00260F48" w:rsidRPr="00A065E0">
        <w:rPr>
          <w:bCs/>
          <w:i/>
          <w:sz w:val="22"/>
          <w:szCs w:val="22"/>
        </w:rPr>
        <w:t>.</w:t>
      </w:r>
      <w:r w:rsidR="00260F48" w:rsidRPr="00A065E0">
        <w:rPr>
          <w:bCs/>
          <w:sz w:val="22"/>
          <w:szCs w:val="22"/>
        </w:rPr>
        <w:t xml:space="preserve"> </w:t>
      </w:r>
      <w:r w:rsidRPr="00A065E0">
        <w:rPr>
          <w:bCs/>
          <w:sz w:val="22"/>
          <w:szCs w:val="22"/>
        </w:rPr>
        <w:t xml:space="preserve">In: Pucherová, Z., Vanková, V. (eds): </w:t>
      </w:r>
      <w:r w:rsidRPr="00A065E0">
        <w:rPr>
          <w:bCs/>
          <w:i/>
          <w:sz w:val="22"/>
          <w:szCs w:val="22"/>
        </w:rPr>
        <w:t>Problémy ochrany a využívania krajiny – teórie, metódy a aplikácie.</w:t>
      </w:r>
      <w:r w:rsidRPr="00A065E0">
        <w:rPr>
          <w:bCs/>
          <w:sz w:val="22"/>
          <w:szCs w:val="22"/>
        </w:rPr>
        <w:t xml:space="preserve"> Združenie Biosféra, Nitra, s. 219-228</w:t>
      </w:r>
      <w:r w:rsidR="00F437D7" w:rsidRPr="00A065E0">
        <w:rPr>
          <w:bCs/>
          <w:sz w:val="22"/>
          <w:szCs w:val="22"/>
        </w:rPr>
        <w:t xml:space="preserve">, </w:t>
      </w:r>
      <w:r w:rsidR="00F437D7" w:rsidRPr="00A065E0">
        <w:rPr>
          <w:sz w:val="22"/>
          <w:szCs w:val="22"/>
        </w:rPr>
        <w:t>ISBN 978-80-968030-9-5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</w:t>
      </w:r>
      <w:r w:rsidRPr="00A065E0">
        <w:rPr>
          <w:sz w:val="22"/>
          <w:szCs w:val="22"/>
        </w:rPr>
        <w:t xml:space="preserve"> (2009): </w:t>
      </w:r>
      <w:r w:rsidRPr="00A065E0">
        <w:rPr>
          <w:i/>
          <w:sz w:val="22"/>
          <w:szCs w:val="22"/>
        </w:rPr>
        <w:t xml:space="preserve">Motivation and life style of the Czech amenity migrants. </w:t>
      </w:r>
      <w:r w:rsidRPr="00A065E0">
        <w:rPr>
          <w:sz w:val="22"/>
          <w:szCs w:val="22"/>
        </w:rPr>
        <w:t>European Countryside, Versita, (3), p. 164-179 (ISSN 1803-8417)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</w:t>
      </w:r>
      <w:r w:rsidRPr="00A065E0">
        <w:rPr>
          <w:sz w:val="22"/>
          <w:szCs w:val="22"/>
        </w:rPr>
        <w:t xml:space="preserve"> (2009): </w:t>
      </w:r>
      <w:r w:rsidRPr="00A065E0">
        <w:rPr>
          <w:i/>
          <w:sz w:val="22"/>
          <w:szCs w:val="22"/>
        </w:rPr>
        <w:t>Amenitní migrace – specifická forma migrace obyvatel</w:t>
      </w:r>
      <w:r w:rsidR="003C7D55" w:rsidRPr="00A065E0">
        <w:rPr>
          <w:i/>
          <w:sz w:val="22"/>
          <w:szCs w:val="22"/>
        </w:rPr>
        <w:t>,</w:t>
      </w:r>
      <w:r w:rsidRPr="00A065E0">
        <w:rPr>
          <w:sz w:val="22"/>
          <w:szCs w:val="22"/>
        </w:rPr>
        <w:t xml:space="preserve"> </w:t>
      </w:r>
      <w:r w:rsidR="003C7D55" w:rsidRPr="00A065E0">
        <w:rPr>
          <w:i/>
          <w:sz w:val="22"/>
          <w:szCs w:val="22"/>
        </w:rPr>
        <w:t>(in Czech, „Amenity migration – the specific form of human migration“).</w:t>
      </w:r>
      <w:r w:rsidR="003C7D55" w:rsidRPr="00A065E0">
        <w:rPr>
          <w:sz w:val="22"/>
          <w:szCs w:val="22"/>
        </w:rPr>
        <w:t xml:space="preserve"> </w:t>
      </w:r>
      <w:r w:rsidRPr="00A065E0">
        <w:rPr>
          <w:sz w:val="22"/>
          <w:szCs w:val="22"/>
        </w:rPr>
        <w:t xml:space="preserve">AUSPICIA, Vol. 6 (2), s. 103- </w:t>
      </w:r>
      <w:r w:rsidR="00AA2C42" w:rsidRPr="00A065E0">
        <w:rPr>
          <w:sz w:val="22"/>
          <w:szCs w:val="22"/>
        </w:rPr>
        <w:t>1</w:t>
      </w:r>
      <w:r w:rsidRPr="00A065E0">
        <w:rPr>
          <w:sz w:val="22"/>
          <w:szCs w:val="22"/>
        </w:rPr>
        <w:t>09</w:t>
      </w:r>
      <w:r w:rsidR="00AA2C42" w:rsidRPr="00A065E0">
        <w:rPr>
          <w:sz w:val="22"/>
          <w:szCs w:val="22"/>
        </w:rPr>
        <w:t xml:space="preserve"> , ISSN 1214-4967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J., Kopp, J., Novotná, M.</w:t>
      </w:r>
      <w:r w:rsidRPr="00A065E0">
        <w:rPr>
          <w:sz w:val="22"/>
          <w:szCs w:val="22"/>
        </w:rPr>
        <w:t xml:space="preserve"> (2008): </w:t>
      </w:r>
      <w:r w:rsidRPr="00A065E0">
        <w:rPr>
          <w:i/>
          <w:sz w:val="22"/>
          <w:szCs w:val="22"/>
        </w:rPr>
        <w:t xml:space="preserve">Amenity migration in the context of landscape-ecological research. </w:t>
      </w:r>
      <w:r w:rsidRPr="00A065E0">
        <w:rPr>
          <w:sz w:val="22"/>
          <w:szCs w:val="22"/>
        </w:rPr>
        <w:t>Ekologie krajiny (Journal of Landscape Ecology), CZ-IALE, Brno, Vol. 1 (2), p. 5-21</w:t>
      </w:r>
      <w:r w:rsidR="000D31CD" w:rsidRPr="00A065E0">
        <w:rPr>
          <w:sz w:val="22"/>
          <w:szCs w:val="22"/>
        </w:rPr>
        <w:t>, ISSN 1803-2427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</w:t>
      </w:r>
      <w:r w:rsidRPr="00A065E0">
        <w:rPr>
          <w:sz w:val="22"/>
          <w:szCs w:val="22"/>
        </w:rPr>
        <w:t xml:space="preserve"> (2008): </w:t>
      </w:r>
      <w:r w:rsidRPr="00A065E0">
        <w:rPr>
          <w:i/>
          <w:sz w:val="22"/>
          <w:szCs w:val="22"/>
        </w:rPr>
        <w:t>Amenity migration as an example of the environmental migration.</w:t>
      </w:r>
      <w:r w:rsidRPr="00A065E0">
        <w:rPr>
          <w:sz w:val="22"/>
          <w:szCs w:val="22"/>
        </w:rPr>
        <w:t xml:space="preserve"> In: Stojanov, R., Novosak, J. (eds): </w:t>
      </w:r>
      <w:r w:rsidRPr="00A065E0">
        <w:rPr>
          <w:i/>
          <w:sz w:val="22"/>
          <w:szCs w:val="22"/>
        </w:rPr>
        <w:t>Migration, Development and Environment.</w:t>
      </w:r>
      <w:r w:rsidRPr="00A065E0">
        <w:rPr>
          <w:sz w:val="22"/>
          <w:szCs w:val="22"/>
        </w:rPr>
        <w:t xml:space="preserve"> Cambridge scholars Publishing, Chapter III., p. 58-75 (ISBN 1-4438-0038-4)</w:t>
      </w:r>
    </w:p>
    <w:p w:rsidR="00806700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J., Moss L.A.G.</w:t>
      </w:r>
      <w:r w:rsidRPr="00A065E0">
        <w:rPr>
          <w:sz w:val="22"/>
          <w:szCs w:val="22"/>
        </w:rPr>
        <w:t xml:space="preserve"> (2008): </w:t>
      </w:r>
      <w:r w:rsidRPr="00A065E0">
        <w:rPr>
          <w:i/>
          <w:sz w:val="22"/>
          <w:szCs w:val="22"/>
        </w:rPr>
        <w:t>„Amenitní migrace“ – nový globální fenomén ovlivňující tvář krajiny</w:t>
      </w:r>
      <w:r w:rsidR="003C7D55" w:rsidRPr="00A065E0">
        <w:rPr>
          <w:i/>
          <w:sz w:val="22"/>
          <w:szCs w:val="22"/>
        </w:rPr>
        <w:t xml:space="preserve">, </w:t>
      </w:r>
      <w:r w:rsidR="003C7D55" w:rsidRPr="00A065E0">
        <w:rPr>
          <w:bCs/>
          <w:i/>
          <w:sz w:val="22"/>
          <w:szCs w:val="22"/>
        </w:rPr>
        <w:t>(in Czech, „Amenity migration – the new global phenomenon influenced the landscape)</w:t>
      </w:r>
      <w:r w:rsidRPr="00A065E0">
        <w:rPr>
          <w:i/>
          <w:sz w:val="22"/>
          <w:szCs w:val="22"/>
        </w:rPr>
        <w:t>.</w:t>
      </w:r>
      <w:r w:rsidRPr="00A065E0">
        <w:rPr>
          <w:sz w:val="22"/>
          <w:szCs w:val="22"/>
        </w:rPr>
        <w:t xml:space="preserve"> In: </w:t>
      </w:r>
      <w:r w:rsidRPr="00A065E0">
        <w:rPr>
          <w:i/>
          <w:sz w:val="22"/>
          <w:szCs w:val="22"/>
        </w:rPr>
        <w:t>Krajina v kontextu globálních změ</w:t>
      </w:r>
      <w:r w:rsidR="005B6E36" w:rsidRPr="00A065E0">
        <w:rPr>
          <w:i/>
          <w:sz w:val="22"/>
          <w:szCs w:val="22"/>
        </w:rPr>
        <w:t>n</w:t>
      </w:r>
      <w:r w:rsidRPr="00A065E0">
        <w:rPr>
          <w:i/>
          <w:sz w:val="22"/>
          <w:szCs w:val="22"/>
        </w:rPr>
        <w:t xml:space="preserve">.  </w:t>
      </w:r>
      <w:r w:rsidRPr="00A065E0">
        <w:rPr>
          <w:sz w:val="22"/>
          <w:szCs w:val="22"/>
        </w:rPr>
        <w:t>CZ –IALE, LDF MZLU v Brně, Brno</w:t>
      </w:r>
      <w:r w:rsidR="00260F48" w:rsidRPr="00A065E0">
        <w:rPr>
          <w:sz w:val="22"/>
          <w:szCs w:val="22"/>
        </w:rPr>
        <w:t>, January</w:t>
      </w:r>
      <w:r w:rsidRPr="00A065E0">
        <w:rPr>
          <w:sz w:val="22"/>
          <w:szCs w:val="22"/>
        </w:rPr>
        <w:t xml:space="preserve"> 25.-26. 2008, 1</w:t>
      </w:r>
      <w:r w:rsidR="00260F48" w:rsidRPr="00A065E0">
        <w:rPr>
          <w:sz w:val="22"/>
          <w:szCs w:val="22"/>
        </w:rPr>
        <w:t>p.</w:t>
      </w:r>
      <w:r w:rsidR="00F437D7" w:rsidRPr="00A065E0">
        <w:rPr>
          <w:sz w:val="22"/>
          <w:szCs w:val="22"/>
        </w:rPr>
        <w:t>, ISBN 978-80-7375-143-2</w:t>
      </w:r>
    </w:p>
    <w:p w:rsidR="003C7D55" w:rsidRPr="00A065E0" w:rsidRDefault="00806700" w:rsidP="003C7D55">
      <w:pPr>
        <w:numPr>
          <w:ilvl w:val="0"/>
          <w:numId w:val="1"/>
        </w:numPr>
        <w:tabs>
          <w:tab w:val="num" w:pos="284"/>
          <w:tab w:val="left" w:pos="2977"/>
        </w:tabs>
        <w:spacing w:after="120"/>
        <w:ind w:left="284" w:hanging="284"/>
        <w:jc w:val="both"/>
        <w:rPr>
          <w:sz w:val="22"/>
          <w:szCs w:val="22"/>
        </w:rPr>
      </w:pPr>
      <w:r w:rsidRPr="00A065E0">
        <w:rPr>
          <w:smallCaps/>
          <w:sz w:val="22"/>
          <w:szCs w:val="22"/>
        </w:rPr>
        <w:t>Bartoš, M., Kušová, D., Těšitel, J.</w:t>
      </w:r>
      <w:r w:rsidRPr="00A065E0">
        <w:rPr>
          <w:sz w:val="22"/>
          <w:szCs w:val="22"/>
        </w:rPr>
        <w:t xml:space="preserve"> (2007): </w:t>
      </w:r>
      <w:r w:rsidRPr="00A065E0">
        <w:rPr>
          <w:i/>
          <w:sz w:val="22"/>
          <w:szCs w:val="22"/>
        </w:rPr>
        <w:t>Amenity migration – driving force for rural development?</w:t>
      </w:r>
      <w:r w:rsidRPr="00A065E0">
        <w:rPr>
          <w:sz w:val="22"/>
          <w:szCs w:val="22"/>
        </w:rPr>
        <w:t xml:space="preserve"> Agricultural economics and rural development. Institute of Agricultural Economics, Romanian Academy, Bucharest, Vol. 4 (3-4), p. 57-69</w:t>
      </w:r>
    </w:p>
    <w:p w:rsidR="0099505D" w:rsidRPr="00A065E0" w:rsidRDefault="0099505D" w:rsidP="003C7D55">
      <w:pPr>
        <w:jc w:val="both"/>
        <w:rPr>
          <w:sz w:val="22"/>
          <w:szCs w:val="22"/>
        </w:rPr>
      </w:pPr>
    </w:p>
    <w:sectPr w:rsidR="0099505D" w:rsidRPr="00A065E0" w:rsidSect="0049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OCR A Std">
    <w:panose1 w:val="020F0609000104060307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1D98"/>
    <w:multiLevelType w:val="hybridMultilevel"/>
    <w:tmpl w:val="90B60A2A"/>
    <w:lvl w:ilvl="0" w:tplc="61D20B4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/>
  <w:rsids>
    <w:rsidRoot w:val="00806700"/>
    <w:rsid w:val="00006FB3"/>
    <w:rsid w:val="000D31CD"/>
    <w:rsid w:val="00260F48"/>
    <w:rsid w:val="00326E08"/>
    <w:rsid w:val="003B7A0E"/>
    <w:rsid w:val="003C7D55"/>
    <w:rsid w:val="00494970"/>
    <w:rsid w:val="005461FB"/>
    <w:rsid w:val="005B6E36"/>
    <w:rsid w:val="007D350D"/>
    <w:rsid w:val="00806700"/>
    <w:rsid w:val="0099505D"/>
    <w:rsid w:val="009B50F3"/>
    <w:rsid w:val="00A065E0"/>
    <w:rsid w:val="00AA2C42"/>
    <w:rsid w:val="00F437D7"/>
    <w:rsid w:val="00FD0854"/>
  </w:rsids>
  <m:mathPr>
    <m:mathFont m:val="Papyru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06700"/>
    <w:pPr>
      <w:ind w:left="720"/>
      <w:contextualSpacing/>
    </w:pPr>
  </w:style>
  <w:style w:type="character" w:customStyle="1" w:styleId="ls0">
    <w:name w:val="ls0"/>
    <w:rsid w:val="00806700"/>
  </w:style>
  <w:style w:type="character" w:customStyle="1" w:styleId="ls1">
    <w:name w:val="ls1"/>
    <w:rsid w:val="00806700"/>
  </w:style>
  <w:style w:type="paragraph" w:styleId="BalloonText">
    <w:name w:val="Balloon Text"/>
    <w:basedOn w:val="Normal"/>
    <w:link w:val="BalloonTextChar"/>
    <w:uiPriority w:val="99"/>
    <w:semiHidden/>
    <w:unhideWhenUsed/>
    <w:rsid w:val="00A06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487</Words>
  <Characters>2780</Characters>
  <Application>Microsoft Macintosh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Bartoš</dc:creator>
  <cp:lastModifiedBy>LAG Moss</cp:lastModifiedBy>
  <cp:revision>9</cp:revision>
  <cp:lastPrinted>2018-10-27T13:22:00Z</cp:lastPrinted>
  <dcterms:created xsi:type="dcterms:W3CDTF">2018-10-10T08:39:00Z</dcterms:created>
  <dcterms:modified xsi:type="dcterms:W3CDTF">2020-02-05T22:57:00Z</dcterms:modified>
</cp:coreProperties>
</file>